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lineRule="auto" w:line="276" w:before="0" w:after="140"/>
        <w:jc w:val="left"/>
        <w:rPr/>
      </w:pPr>
      <w:r>
        <w:rPr/>
        <w:t>NEXTGEN INCLUSION</w:t>
      </w:r>
    </w:p>
    <w:p>
      <w:pPr>
        <w:pStyle w:val="Heading2"/>
        <w:bidi w:val="0"/>
        <w:spacing w:lineRule="auto" w:line="276" w:before="0" w:after="140"/>
        <w:jc w:val="left"/>
        <w:rPr/>
      </w:pPr>
      <w:r>
        <w:rPr/>
        <w:t>Privacy &amp; Data Protection Notice</w:t>
      </w:r>
    </w:p>
    <w:p>
      <w:pPr>
        <w:pStyle w:val="BodyText"/>
        <w:bidi w:val="0"/>
        <w:spacing w:lineRule="auto" w:line="276" w:before="0" w:after="140"/>
        <w:jc w:val="left"/>
        <w:rPr/>
      </w:pPr>
      <w:r>
        <w:rPr>
          <w:rStyle w:val="Strong"/>
        </w:rPr>
        <w:t>Every Child. Every Voice. Every Future.</w:t>
      </w:r>
    </w:p>
    <w:p>
      <w:pPr>
        <w:pStyle w:val="BodyText"/>
        <w:bidi w:val="0"/>
        <w:spacing w:lineRule="auto" w:line="276" w:before="0" w:after="140"/>
        <w:jc w:val="left"/>
        <w:rPr/>
      </w:pPr>
      <w:r>
        <w:rPr>
          <w:rStyle w:val="Strong"/>
        </w:rPr>
        <w:t>Last updated:</w:t>
      </w:r>
      <w:r>
        <w:rPr/>
        <w:t xml:space="preserve"> September 2026</w:t>
        <w:br/>
      </w:r>
      <w:r>
        <w:rPr>
          <w:rStyle w:val="Strong"/>
        </w:rPr>
        <w:t>Data Controller:</w:t>
      </w:r>
      <w:r>
        <w:rPr/>
        <w:t xml:space="preserve"> </w:t>
      </w:r>
      <w:r>
        <w:rPr/>
        <w:t>Nextgen Inclusion Ltd</w:t>
      </w:r>
      <w:r>
        <w:rPr/>
        <w:br/>
      </w:r>
      <w:r>
        <w:rPr>
          <w:rStyle w:val="Strong"/>
        </w:rPr>
        <w:t>Trading name:</w:t>
      </w:r>
      <w:r>
        <w:rPr/>
        <w:t xml:space="preserve"> NextGen Inclusion</w:t>
        <w:br/>
      </w:r>
      <w:r>
        <w:rPr>
          <w:rStyle w:val="Strong"/>
        </w:rPr>
        <w:t>Registered address:</w:t>
      </w:r>
      <w:r>
        <w:rPr/>
        <w:t xml:space="preserve"> </w:t>
      </w:r>
      <w:r>
        <w:rPr/>
        <w:t>The Loft, Preese Hall Farm, Weeton. PR4 3HT</w:t>
      </w:r>
      <w:r>
        <w:rPr/>
        <w:br/>
      </w:r>
      <w:r>
        <w:rPr>
          <w:rStyle w:val="Strong"/>
        </w:rPr>
        <w:t>Company number:</w:t>
      </w:r>
      <w:r>
        <w:rPr/>
        <w:t xml:space="preserve"> </w:t>
      </w:r>
      <w:r>
        <w:rPr/>
        <w:t>17391310</w:t>
      </w:r>
      <w:r>
        <w:rPr/>
        <w:br/>
      </w:r>
      <w:r>
        <w:rPr>
          <w:rStyle w:val="Strong"/>
        </w:rPr>
        <w:t>ICO registration number:</w:t>
      </w:r>
      <w:r>
        <w:rPr/>
        <w:t xml:space="preserve"> </w:t>
      </w:r>
    </w:p>
    <w:p>
      <w:pPr>
        <w:pStyle w:val="Heading3"/>
        <w:bidi w:val="0"/>
        <w:spacing w:lineRule="auto" w:line="276" w:before="0" w:after="140"/>
        <w:jc w:val="left"/>
        <w:rPr/>
      </w:pPr>
      <w:r>
        <w:rPr/>
        <w:t>1. Our Commitment to Your Privacy</w:t>
      </w:r>
    </w:p>
    <w:p>
      <w:pPr>
        <w:pStyle w:val="BodyText"/>
        <w:bidi w:val="0"/>
        <w:spacing w:lineRule="auto" w:line="276" w:before="0" w:after="140"/>
        <w:jc w:val="left"/>
        <w:rPr/>
      </w:pPr>
      <w:r>
        <w:rPr/>
        <w:t>At NextGen Inclusion, trust, dignity, safeguarding and confidentiality are fundamental to the way we work. We are committed to protecting the personal information of children, young people, adults, families, employees, professionals, commissioners, customers, investors, partners and visitors to our website.</w:t>
      </w:r>
    </w:p>
    <w:p>
      <w:pPr>
        <w:pStyle w:val="BodyText"/>
        <w:bidi w:val="0"/>
        <w:spacing w:lineRule="auto" w:line="276" w:before="0" w:after="140"/>
        <w:jc w:val="left"/>
        <w:rPr/>
      </w:pPr>
      <w:r>
        <w:rPr/>
        <w:t>We handle personal information responsibly and transparently and in accordance with applicable UK data protection legislation.</w:t>
      </w:r>
    </w:p>
    <w:p>
      <w:pPr>
        <w:pStyle w:val="BodyText"/>
        <w:bidi w:val="0"/>
        <w:spacing w:lineRule="auto" w:line="276" w:before="0" w:after="140"/>
        <w:jc w:val="left"/>
        <w:rPr/>
      </w:pPr>
      <w:r>
        <w:rPr/>
        <w:t>This Privacy Notice explains what information we may collect, why we collect it, how it may be used, who it may be shared with, how it is protected and the rights individuals have in relation to their information.</w:t>
      </w:r>
    </w:p>
    <w:p>
      <w:pPr>
        <w:pStyle w:val="Heading3"/>
        <w:bidi w:val="0"/>
        <w:spacing w:lineRule="auto" w:line="276" w:before="0" w:after="140"/>
        <w:jc w:val="left"/>
        <w:rPr/>
      </w:pPr>
      <w:r>
        <w:rPr/>
        <w:t>2. Data Controller</w:t>
      </w:r>
    </w:p>
    <w:p>
      <w:pPr>
        <w:pStyle w:val="BodyText"/>
        <w:bidi w:val="0"/>
        <w:spacing w:lineRule="auto" w:line="276" w:before="0" w:after="140"/>
        <w:jc w:val="left"/>
        <w:rPr/>
      </w:pPr>
      <w:r>
        <w:rPr>
          <w:rStyle w:val="Strong"/>
        </w:rPr>
        <w:t>Nextgen Inclusion Ltd</w:t>
      </w:r>
      <w:r>
        <w:rPr>
          <w:rStyle w:val="Strong"/>
        </w:rPr>
        <w:t>, trading as NextGen Inclusion</w:t>
      </w:r>
      <w:r>
        <w:rPr/>
        <w:t>, is the Data Controller for personal information where we determine why and how that information is processed.</w:t>
      </w:r>
    </w:p>
    <w:p>
      <w:pPr>
        <w:pStyle w:val="BodyText"/>
        <w:bidi w:val="0"/>
        <w:spacing w:lineRule="auto" w:line="276" w:before="0" w:after="140"/>
        <w:jc w:val="left"/>
        <w:rPr/>
      </w:pPr>
      <w:r>
        <w:rPr/>
        <w:t>In some circumstances, another organisation — for example, a local authority, NHS organisation or commissioning body — may be the controller or we may act as a processor or joint controller. Where this applies, responsibilities will be established through appropriate agreements and privacy information.</w:t>
      </w:r>
    </w:p>
    <w:p>
      <w:pPr>
        <w:pStyle w:val="Heading3"/>
        <w:bidi w:val="0"/>
        <w:spacing w:lineRule="auto" w:line="276" w:before="0" w:after="140"/>
        <w:jc w:val="left"/>
        <w:rPr/>
      </w:pPr>
      <w:r>
        <w:rPr/>
        <w:t>3. Who This Privacy Notice Applies To</w:t>
      </w:r>
    </w:p>
    <w:p>
      <w:pPr>
        <w:pStyle w:val="BodyText"/>
        <w:bidi w:val="0"/>
        <w:spacing w:lineRule="auto" w:line="276" w:before="0" w:after="140"/>
        <w:jc w:val="left"/>
        <w:rPr/>
      </w:pPr>
      <w:r>
        <w:rPr/>
        <w:t>This notice may apply to people who use or enquire about our services, including children and young people; adults receiving care or support; parents, carers and family members; employees and prospective employees; social workers and other professionals; local authority and social care representatives; commissioners; healthcare and education professionals; customers and consultancy clients; training delegates; investors and business partners; suppliers and contractors; and visitors to our website.</w:t>
      </w:r>
    </w:p>
    <w:p>
      <w:pPr>
        <w:pStyle w:val="BodyText"/>
        <w:bidi w:val="0"/>
        <w:spacing w:lineRule="auto" w:line="276" w:before="0" w:after="140"/>
        <w:jc w:val="left"/>
        <w:rPr/>
      </w:pPr>
      <w:r>
        <w:rPr/>
        <w:t>Where appropriate, NextGen will provide additional or more specific privacy information for particular services or groups.</w:t>
      </w:r>
    </w:p>
    <w:p>
      <w:pPr>
        <w:pStyle w:val="Heading3"/>
        <w:bidi w:val="0"/>
        <w:spacing w:lineRule="auto" w:line="276" w:before="0" w:after="140"/>
        <w:jc w:val="left"/>
        <w:rPr/>
      </w:pPr>
      <w:r>
        <w:rPr/>
        <w:t>4. Personal Information We May Collect</w:t>
      </w:r>
    </w:p>
    <w:p>
      <w:pPr>
        <w:pStyle w:val="BodyText"/>
        <w:bidi w:val="0"/>
        <w:spacing w:lineRule="auto" w:line="276" w:before="0" w:after="140"/>
        <w:jc w:val="left"/>
        <w:rPr/>
      </w:pPr>
      <w:r>
        <w:rPr/>
        <w:t>Depending upon your relationship with NextGen, we may collect information such as:</w:t>
      </w:r>
    </w:p>
    <w:p>
      <w:pPr>
        <w:pStyle w:val="BodyText"/>
        <w:numPr>
          <w:ilvl w:val="0"/>
          <w:numId w:val="2"/>
        </w:numPr>
        <w:tabs>
          <w:tab w:val="clear" w:pos="709"/>
          <w:tab w:val="left" w:pos="709" w:leader="none"/>
        </w:tabs>
        <w:bidi w:val="0"/>
        <w:spacing w:before="0" w:after="0"/>
        <w:ind w:hanging="283" w:left="709"/>
        <w:jc w:val="left"/>
        <w:rPr/>
      </w:pPr>
      <w:r>
        <w:rPr/>
        <w:t xml:space="preserve">Name, address and contact information. </w:t>
      </w:r>
    </w:p>
    <w:p>
      <w:pPr>
        <w:pStyle w:val="BodyText"/>
        <w:numPr>
          <w:ilvl w:val="0"/>
          <w:numId w:val="2"/>
        </w:numPr>
        <w:tabs>
          <w:tab w:val="clear" w:pos="709"/>
          <w:tab w:val="left" w:pos="709" w:leader="none"/>
        </w:tabs>
        <w:bidi w:val="0"/>
        <w:spacing w:before="0" w:after="0"/>
        <w:ind w:hanging="283" w:left="709"/>
        <w:jc w:val="left"/>
        <w:rPr/>
      </w:pPr>
      <w:r>
        <w:rPr/>
        <w:t xml:space="preserve">Date of birth and age. </w:t>
      </w:r>
    </w:p>
    <w:p>
      <w:pPr>
        <w:pStyle w:val="BodyText"/>
        <w:numPr>
          <w:ilvl w:val="0"/>
          <w:numId w:val="2"/>
        </w:numPr>
        <w:tabs>
          <w:tab w:val="clear" w:pos="709"/>
          <w:tab w:val="left" w:pos="709" w:leader="none"/>
        </w:tabs>
        <w:bidi w:val="0"/>
        <w:spacing w:before="0" w:after="0"/>
        <w:ind w:hanging="283" w:left="709"/>
        <w:jc w:val="left"/>
        <w:rPr/>
      </w:pPr>
      <w:r>
        <w:rPr/>
        <w:t xml:space="preserve">Parent, carer or next-of-kin information. </w:t>
      </w:r>
    </w:p>
    <w:p>
      <w:pPr>
        <w:pStyle w:val="BodyText"/>
        <w:numPr>
          <w:ilvl w:val="0"/>
          <w:numId w:val="2"/>
        </w:numPr>
        <w:tabs>
          <w:tab w:val="clear" w:pos="709"/>
          <w:tab w:val="left" w:pos="709" w:leader="none"/>
        </w:tabs>
        <w:bidi w:val="0"/>
        <w:spacing w:before="0" w:after="0"/>
        <w:ind w:hanging="283" w:left="709"/>
        <w:jc w:val="left"/>
        <w:rPr/>
      </w:pPr>
      <w:r>
        <w:rPr/>
        <w:t xml:space="preserve">Emergency contact information. </w:t>
      </w:r>
    </w:p>
    <w:p>
      <w:pPr>
        <w:pStyle w:val="BodyText"/>
        <w:numPr>
          <w:ilvl w:val="0"/>
          <w:numId w:val="2"/>
        </w:numPr>
        <w:tabs>
          <w:tab w:val="clear" w:pos="709"/>
          <w:tab w:val="left" w:pos="709" w:leader="none"/>
        </w:tabs>
        <w:bidi w:val="0"/>
        <w:spacing w:before="0" w:after="0"/>
        <w:ind w:hanging="283" w:left="709"/>
        <w:jc w:val="left"/>
        <w:rPr/>
      </w:pPr>
      <w:r>
        <w:rPr/>
        <w:t xml:space="preserve">Professional role and organisation. </w:t>
      </w:r>
    </w:p>
    <w:p>
      <w:pPr>
        <w:pStyle w:val="BodyText"/>
        <w:numPr>
          <w:ilvl w:val="0"/>
          <w:numId w:val="2"/>
        </w:numPr>
        <w:tabs>
          <w:tab w:val="clear" w:pos="709"/>
          <w:tab w:val="left" w:pos="709" w:leader="none"/>
        </w:tabs>
        <w:bidi w:val="0"/>
        <w:spacing w:before="0" w:after="0"/>
        <w:ind w:hanging="283" w:left="709"/>
        <w:jc w:val="left"/>
        <w:rPr/>
      </w:pPr>
      <w:r>
        <w:rPr/>
        <w:t xml:space="preserve">Website enquiry and correspondence information. </w:t>
      </w:r>
    </w:p>
    <w:p>
      <w:pPr>
        <w:pStyle w:val="BodyText"/>
        <w:numPr>
          <w:ilvl w:val="0"/>
          <w:numId w:val="2"/>
        </w:numPr>
        <w:tabs>
          <w:tab w:val="clear" w:pos="709"/>
          <w:tab w:val="left" w:pos="709" w:leader="none"/>
        </w:tabs>
        <w:bidi w:val="0"/>
        <w:spacing w:before="0" w:after="0"/>
        <w:ind w:hanging="283" w:left="709"/>
        <w:jc w:val="left"/>
        <w:rPr/>
      </w:pPr>
      <w:r>
        <w:rPr/>
        <w:t xml:space="preserve">Referral and assessment information. </w:t>
      </w:r>
    </w:p>
    <w:p>
      <w:pPr>
        <w:pStyle w:val="BodyText"/>
        <w:numPr>
          <w:ilvl w:val="0"/>
          <w:numId w:val="2"/>
        </w:numPr>
        <w:tabs>
          <w:tab w:val="clear" w:pos="709"/>
          <w:tab w:val="left" w:pos="709" w:leader="none"/>
        </w:tabs>
        <w:bidi w:val="0"/>
        <w:spacing w:before="0" w:after="0"/>
        <w:ind w:hanging="283" w:left="709"/>
        <w:jc w:val="left"/>
        <w:rPr/>
      </w:pPr>
      <w:r>
        <w:rPr/>
        <w:t xml:space="preserve">Care and support information. </w:t>
      </w:r>
    </w:p>
    <w:p>
      <w:pPr>
        <w:pStyle w:val="BodyText"/>
        <w:numPr>
          <w:ilvl w:val="0"/>
          <w:numId w:val="2"/>
        </w:numPr>
        <w:tabs>
          <w:tab w:val="clear" w:pos="709"/>
          <w:tab w:val="left" w:pos="709" w:leader="none"/>
        </w:tabs>
        <w:bidi w:val="0"/>
        <w:spacing w:before="0" w:after="0"/>
        <w:ind w:hanging="283" w:left="709"/>
        <w:jc w:val="left"/>
        <w:rPr/>
      </w:pPr>
      <w:r>
        <w:rPr/>
        <w:t xml:space="preserve">Placement and commissioning information. </w:t>
      </w:r>
    </w:p>
    <w:p>
      <w:pPr>
        <w:pStyle w:val="BodyText"/>
        <w:numPr>
          <w:ilvl w:val="0"/>
          <w:numId w:val="2"/>
        </w:numPr>
        <w:tabs>
          <w:tab w:val="clear" w:pos="709"/>
          <w:tab w:val="left" w:pos="709" w:leader="none"/>
        </w:tabs>
        <w:bidi w:val="0"/>
        <w:spacing w:before="0" w:after="0"/>
        <w:ind w:hanging="283" w:left="709"/>
        <w:jc w:val="left"/>
        <w:rPr/>
      </w:pPr>
      <w:r>
        <w:rPr/>
        <w:t xml:space="preserve">Education and employment information. </w:t>
      </w:r>
    </w:p>
    <w:p>
      <w:pPr>
        <w:pStyle w:val="BodyText"/>
        <w:numPr>
          <w:ilvl w:val="0"/>
          <w:numId w:val="2"/>
        </w:numPr>
        <w:tabs>
          <w:tab w:val="clear" w:pos="709"/>
          <w:tab w:val="left" w:pos="709" w:leader="none"/>
        </w:tabs>
        <w:bidi w:val="0"/>
        <w:spacing w:before="0" w:after="0"/>
        <w:ind w:hanging="283" w:left="709"/>
        <w:jc w:val="left"/>
        <w:rPr/>
      </w:pPr>
      <w:r>
        <w:rPr/>
        <w:t xml:space="preserve">Safeguarding and risk-management information where appropriate. </w:t>
      </w:r>
    </w:p>
    <w:p>
      <w:pPr>
        <w:pStyle w:val="BodyText"/>
        <w:numPr>
          <w:ilvl w:val="0"/>
          <w:numId w:val="2"/>
        </w:numPr>
        <w:tabs>
          <w:tab w:val="clear" w:pos="709"/>
          <w:tab w:val="left" w:pos="709" w:leader="none"/>
        </w:tabs>
        <w:bidi w:val="0"/>
        <w:spacing w:before="0" w:after="0"/>
        <w:ind w:hanging="283" w:left="709"/>
        <w:jc w:val="left"/>
        <w:rPr/>
      </w:pPr>
      <w:r>
        <w:rPr/>
        <w:t xml:space="preserve">Financial, invoicing and contractual information. </w:t>
      </w:r>
    </w:p>
    <w:p>
      <w:pPr>
        <w:pStyle w:val="BodyText"/>
        <w:numPr>
          <w:ilvl w:val="0"/>
          <w:numId w:val="2"/>
        </w:numPr>
        <w:tabs>
          <w:tab w:val="clear" w:pos="709"/>
          <w:tab w:val="left" w:pos="709" w:leader="none"/>
        </w:tabs>
        <w:bidi w:val="0"/>
        <w:spacing w:before="0" w:after="0"/>
        <w:ind w:hanging="283" w:left="709"/>
        <w:jc w:val="left"/>
        <w:rPr/>
      </w:pPr>
      <w:r>
        <w:rPr/>
        <w:t xml:space="preserve">Recruitment and employment information. </w:t>
      </w:r>
    </w:p>
    <w:p>
      <w:pPr>
        <w:pStyle w:val="BodyText"/>
        <w:numPr>
          <w:ilvl w:val="0"/>
          <w:numId w:val="2"/>
        </w:numPr>
        <w:tabs>
          <w:tab w:val="clear" w:pos="709"/>
          <w:tab w:val="left" w:pos="709" w:leader="none"/>
        </w:tabs>
        <w:bidi w:val="0"/>
        <w:spacing w:before="0" w:after="0"/>
        <w:ind w:hanging="283" w:left="709"/>
        <w:jc w:val="left"/>
        <w:rPr/>
      </w:pPr>
      <w:r>
        <w:rPr/>
        <w:t xml:space="preserve">Training and competency records. </w:t>
      </w:r>
    </w:p>
    <w:p>
      <w:pPr>
        <w:pStyle w:val="BodyText"/>
        <w:numPr>
          <w:ilvl w:val="0"/>
          <w:numId w:val="2"/>
        </w:numPr>
        <w:tabs>
          <w:tab w:val="clear" w:pos="709"/>
          <w:tab w:val="left" w:pos="709" w:leader="none"/>
        </w:tabs>
        <w:bidi w:val="0"/>
        <w:spacing w:before="0" w:after="0"/>
        <w:ind w:hanging="283" w:left="709"/>
        <w:jc w:val="left"/>
        <w:rPr/>
      </w:pPr>
      <w:r>
        <w:rPr/>
        <w:t xml:space="preserve">Complaints, compliments and feedback. </w:t>
      </w:r>
    </w:p>
    <w:p>
      <w:pPr>
        <w:pStyle w:val="BodyText"/>
        <w:numPr>
          <w:ilvl w:val="0"/>
          <w:numId w:val="2"/>
        </w:numPr>
        <w:tabs>
          <w:tab w:val="clear" w:pos="709"/>
          <w:tab w:val="left" w:pos="709" w:leader="none"/>
        </w:tabs>
        <w:bidi w:val="0"/>
        <w:spacing w:before="0" w:after="0"/>
        <w:ind w:hanging="283" w:left="709"/>
        <w:jc w:val="left"/>
        <w:rPr/>
      </w:pPr>
      <w:r>
        <w:rPr/>
        <w:t xml:space="preserve">Records of communications with us. </w:t>
      </w:r>
    </w:p>
    <w:p>
      <w:pPr>
        <w:pStyle w:val="BodyText"/>
        <w:numPr>
          <w:ilvl w:val="0"/>
          <w:numId w:val="2"/>
        </w:numPr>
        <w:tabs>
          <w:tab w:val="clear" w:pos="709"/>
          <w:tab w:val="left" w:pos="709" w:leader="none"/>
        </w:tabs>
        <w:bidi w:val="0"/>
        <w:ind w:hanging="283" w:left="709"/>
        <w:jc w:val="left"/>
        <w:rPr/>
      </w:pPr>
      <w:r>
        <w:rPr/>
        <w:t xml:space="preserve">Technical information generated when using our website, where applicable. </w:t>
      </w:r>
    </w:p>
    <w:p>
      <w:pPr>
        <w:pStyle w:val="BodyText"/>
        <w:bidi w:val="0"/>
        <w:spacing w:lineRule="auto" w:line="276" w:before="0" w:after="140"/>
        <w:jc w:val="left"/>
        <w:rPr/>
      </w:pPr>
      <w:r>
        <w:rPr/>
        <w:t xml:space="preserve">We follow the principle of </w:t>
      </w:r>
      <w:r>
        <w:rPr>
          <w:rStyle w:val="Strong"/>
        </w:rPr>
        <w:t>data minimisation</w:t>
      </w:r>
      <w:r>
        <w:rPr/>
        <w:t xml:space="preserve"> and aim only to collect information that is relevant and necessary for the particular purpose.</w:t>
      </w:r>
    </w:p>
    <w:p>
      <w:pPr>
        <w:pStyle w:val="Heading3"/>
        <w:bidi w:val="0"/>
        <w:spacing w:lineRule="auto" w:line="276" w:before="0" w:after="140"/>
        <w:jc w:val="left"/>
        <w:rPr/>
      </w:pPr>
      <w:r>
        <w:rPr/>
        <w:t>5. Special Category and Sensitive Information</w:t>
      </w:r>
    </w:p>
    <w:p>
      <w:pPr>
        <w:pStyle w:val="BodyText"/>
        <w:bidi w:val="0"/>
        <w:spacing w:lineRule="auto" w:line="276" w:before="0" w:after="140"/>
        <w:jc w:val="left"/>
        <w:rPr/>
      </w:pPr>
      <w:r>
        <w:rPr/>
        <w:t>Because some NextGen services involve children, young people and people requiring care or support, we may need to process more sensitive information, including health, disability, medical, care and support information and, where necessary, other special category information.</w:t>
      </w:r>
    </w:p>
    <w:p>
      <w:pPr>
        <w:pStyle w:val="BodyText"/>
        <w:bidi w:val="0"/>
        <w:spacing w:lineRule="auto" w:line="276" w:before="0" w:after="140"/>
        <w:jc w:val="left"/>
        <w:rPr/>
      </w:pPr>
      <w:r>
        <w:rPr/>
        <w:t xml:space="preserve">Special category information receives additional legal protection. Where NextGen processes special category data, an appropriate Article 6 lawful basis and Article 9 condition must be identified, with additional DPA 2018 requirements applying in some circumstances. </w:t>
      </w:r>
    </w:p>
    <w:p>
      <w:pPr>
        <w:pStyle w:val="BodyText"/>
        <w:bidi w:val="0"/>
        <w:spacing w:lineRule="auto" w:line="276" w:before="0" w:after="140"/>
        <w:jc w:val="left"/>
        <w:rPr/>
      </w:pPr>
      <w:r>
        <w:rPr/>
        <w:t>We will only collect and use such information where it is necessary, proportionate and lawful.</w:t>
      </w:r>
    </w:p>
    <w:p>
      <w:pPr>
        <w:pStyle w:val="Heading3"/>
        <w:bidi w:val="0"/>
        <w:spacing w:lineRule="auto" w:line="276" w:before="0" w:after="140"/>
        <w:jc w:val="left"/>
        <w:rPr/>
      </w:pPr>
      <w:r>
        <w:rPr/>
        <w:t>6. Children's Information</w:t>
      </w:r>
    </w:p>
    <w:p>
      <w:pPr>
        <w:pStyle w:val="BodyText"/>
        <w:bidi w:val="0"/>
        <w:spacing w:lineRule="auto" w:line="276" w:before="0" w:after="140"/>
        <w:jc w:val="left"/>
        <w:rPr/>
      </w:pPr>
      <w:r>
        <w:rPr/>
        <w:t>Protecting children's information is particularly important to NextGen.</w:t>
      </w:r>
    </w:p>
    <w:p>
      <w:pPr>
        <w:pStyle w:val="BodyText"/>
        <w:bidi w:val="0"/>
        <w:spacing w:lineRule="auto" w:line="276" w:before="0" w:after="140"/>
        <w:jc w:val="left"/>
        <w:rPr/>
      </w:pPr>
      <w:r>
        <w:rPr/>
        <w:t>Where we provide children's services, information may be received directly from the child or young person or from parents, carers, local authorities, social workers, education providers, healthcare professionals, police or other authorised professionals and agencies.</w:t>
      </w:r>
    </w:p>
    <w:p>
      <w:pPr>
        <w:pStyle w:val="BodyText"/>
        <w:bidi w:val="0"/>
        <w:spacing w:lineRule="auto" w:line="276" w:before="0" w:after="140"/>
        <w:jc w:val="left"/>
        <w:rPr/>
      </w:pPr>
      <w:r>
        <w:rPr/>
        <w:t>We may process information necessary for areas such as care planning, placement decisions, safeguarding, health, education, risk management, positive outcomes and the delivery of individualised support.</w:t>
      </w:r>
    </w:p>
    <w:p>
      <w:pPr>
        <w:pStyle w:val="BodyText"/>
        <w:bidi w:val="0"/>
        <w:spacing w:lineRule="auto" w:line="276" w:before="0" w:after="140"/>
        <w:jc w:val="left"/>
        <w:rPr/>
      </w:pPr>
      <w:r>
        <w:rPr/>
        <w:t xml:space="preserve">Children's information will be handled with particular care and privacy information should be presented in language appropriate to the child where required. The ICO specifically recognises that organisations must determine an appropriate lawful basis when processing children's personal information. </w:t>
      </w:r>
    </w:p>
    <w:p>
      <w:pPr>
        <w:pStyle w:val="Heading3"/>
        <w:bidi w:val="0"/>
        <w:spacing w:lineRule="auto" w:line="276" w:before="0" w:after="140"/>
        <w:jc w:val="left"/>
        <w:rPr/>
      </w:pPr>
      <w:r>
        <w:rPr/>
        <w:t>7. Why We Use Personal Information</w:t>
      </w:r>
    </w:p>
    <w:p>
      <w:pPr>
        <w:pStyle w:val="BodyText"/>
        <w:bidi w:val="0"/>
        <w:spacing w:lineRule="auto" w:line="276" w:before="0" w:after="140"/>
        <w:jc w:val="left"/>
        <w:rPr/>
      </w:pPr>
      <w:r>
        <w:rPr/>
        <w:t>We may process personal information to:</w:t>
      </w:r>
    </w:p>
    <w:p>
      <w:pPr>
        <w:pStyle w:val="BodyText"/>
        <w:numPr>
          <w:ilvl w:val="0"/>
          <w:numId w:val="3"/>
        </w:numPr>
        <w:tabs>
          <w:tab w:val="clear" w:pos="709"/>
          <w:tab w:val="left" w:pos="709" w:leader="none"/>
        </w:tabs>
        <w:bidi w:val="0"/>
        <w:spacing w:before="0" w:after="0"/>
        <w:ind w:hanging="283" w:left="709"/>
        <w:jc w:val="left"/>
        <w:rPr/>
      </w:pPr>
      <w:r>
        <w:rPr/>
        <w:t xml:space="preserve">Respond to enquiries. </w:t>
      </w:r>
    </w:p>
    <w:p>
      <w:pPr>
        <w:pStyle w:val="BodyText"/>
        <w:numPr>
          <w:ilvl w:val="0"/>
          <w:numId w:val="3"/>
        </w:numPr>
        <w:tabs>
          <w:tab w:val="clear" w:pos="709"/>
          <w:tab w:val="left" w:pos="709" w:leader="none"/>
        </w:tabs>
        <w:bidi w:val="0"/>
        <w:spacing w:before="0" w:after="0"/>
        <w:ind w:hanging="283" w:left="709"/>
        <w:jc w:val="left"/>
        <w:rPr/>
      </w:pPr>
      <w:r>
        <w:rPr/>
        <w:t xml:space="preserve">Provide care and support services. </w:t>
      </w:r>
    </w:p>
    <w:p>
      <w:pPr>
        <w:pStyle w:val="BodyText"/>
        <w:numPr>
          <w:ilvl w:val="0"/>
          <w:numId w:val="3"/>
        </w:numPr>
        <w:tabs>
          <w:tab w:val="clear" w:pos="709"/>
          <w:tab w:val="left" w:pos="709" w:leader="none"/>
        </w:tabs>
        <w:bidi w:val="0"/>
        <w:spacing w:before="0" w:after="0"/>
        <w:ind w:hanging="283" w:left="709"/>
        <w:jc w:val="left"/>
        <w:rPr/>
      </w:pPr>
      <w:r>
        <w:rPr/>
        <w:t xml:space="preserve">Assess referrals and potential placements. </w:t>
      </w:r>
    </w:p>
    <w:p>
      <w:pPr>
        <w:pStyle w:val="BodyText"/>
        <w:numPr>
          <w:ilvl w:val="0"/>
          <w:numId w:val="3"/>
        </w:numPr>
        <w:tabs>
          <w:tab w:val="clear" w:pos="709"/>
          <w:tab w:val="left" w:pos="709" w:leader="none"/>
        </w:tabs>
        <w:bidi w:val="0"/>
        <w:spacing w:before="0" w:after="0"/>
        <w:ind w:hanging="283" w:left="709"/>
        <w:jc w:val="left"/>
        <w:rPr/>
      </w:pPr>
      <w:r>
        <w:rPr/>
        <w:t xml:space="preserve">Develop individualised support packages. </w:t>
      </w:r>
    </w:p>
    <w:p>
      <w:pPr>
        <w:pStyle w:val="BodyText"/>
        <w:numPr>
          <w:ilvl w:val="0"/>
          <w:numId w:val="3"/>
        </w:numPr>
        <w:tabs>
          <w:tab w:val="clear" w:pos="709"/>
          <w:tab w:val="left" w:pos="709" w:leader="none"/>
        </w:tabs>
        <w:bidi w:val="0"/>
        <w:spacing w:before="0" w:after="0"/>
        <w:ind w:hanging="283" w:left="709"/>
        <w:jc w:val="left"/>
        <w:rPr/>
      </w:pPr>
      <w:r>
        <w:rPr/>
        <w:t xml:space="preserve">Safeguard children, young people and adults. </w:t>
      </w:r>
    </w:p>
    <w:p>
      <w:pPr>
        <w:pStyle w:val="BodyText"/>
        <w:numPr>
          <w:ilvl w:val="0"/>
          <w:numId w:val="3"/>
        </w:numPr>
        <w:tabs>
          <w:tab w:val="clear" w:pos="709"/>
          <w:tab w:val="left" w:pos="709" w:leader="none"/>
        </w:tabs>
        <w:bidi w:val="0"/>
        <w:spacing w:before="0" w:after="0"/>
        <w:ind w:hanging="283" w:left="709"/>
        <w:jc w:val="left"/>
        <w:rPr/>
      </w:pPr>
      <w:r>
        <w:rPr/>
        <w:t xml:space="preserve">Develop and review care and support plans. </w:t>
      </w:r>
    </w:p>
    <w:p>
      <w:pPr>
        <w:pStyle w:val="BodyText"/>
        <w:numPr>
          <w:ilvl w:val="0"/>
          <w:numId w:val="3"/>
        </w:numPr>
        <w:tabs>
          <w:tab w:val="clear" w:pos="709"/>
          <w:tab w:val="left" w:pos="709" w:leader="none"/>
        </w:tabs>
        <w:bidi w:val="0"/>
        <w:spacing w:before="0" w:after="0"/>
        <w:ind w:hanging="283" w:left="709"/>
        <w:jc w:val="left"/>
        <w:rPr/>
      </w:pPr>
      <w:r>
        <w:rPr/>
        <w:t xml:space="preserve">Communicate with families and professionals. </w:t>
      </w:r>
    </w:p>
    <w:p>
      <w:pPr>
        <w:pStyle w:val="BodyText"/>
        <w:numPr>
          <w:ilvl w:val="0"/>
          <w:numId w:val="3"/>
        </w:numPr>
        <w:tabs>
          <w:tab w:val="clear" w:pos="709"/>
          <w:tab w:val="left" w:pos="709" w:leader="none"/>
        </w:tabs>
        <w:bidi w:val="0"/>
        <w:spacing w:before="0" w:after="0"/>
        <w:ind w:hanging="283" w:left="709"/>
        <w:jc w:val="left"/>
        <w:rPr/>
      </w:pPr>
      <w:r>
        <w:rPr/>
        <w:t xml:space="preserve">Work with local authorities, social services and commissioners. </w:t>
      </w:r>
    </w:p>
    <w:p>
      <w:pPr>
        <w:pStyle w:val="BodyText"/>
        <w:numPr>
          <w:ilvl w:val="0"/>
          <w:numId w:val="3"/>
        </w:numPr>
        <w:tabs>
          <w:tab w:val="clear" w:pos="709"/>
          <w:tab w:val="left" w:pos="709" w:leader="none"/>
        </w:tabs>
        <w:bidi w:val="0"/>
        <w:spacing w:before="0" w:after="0"/>
        <w:ind w:hanging="283" w:left="709"/>
        <w:jc w:val="left"/>
        <w:rPr/>
      </w:pPr>
      <w:r>
        <w:rPr/>
        <w:t xml:space="preserve">Deliver consultancy and turnkey services. </w:t>
      </w:r>
    </w:p>
    <w:p>
      <w:pPr>
        <w:pStyle w:val="BodyText"/>
        <w:numPr>
          <w:ilvl w:val="0"/>
          <w:numId w:val="3"/>
        </w:numPr>
        <w:tabs>
          <w:tab w:val="clear" w:pos="709"/>
          <w:tab w:val="left" w:pos="709" w:leader="none"/>
        </w:tabs>
        <w:bidi w:val="0"/>
        <w:spacing w:before="0" w:after="0"/>
        <w:ind w:hanging="283" w:left="709"/>
        <w:jc w:val="left"/>
        <w:rPr/>
      </w:pPr>
      <w:r>
        <w:rPr/>
        <w:t xml:space="preserve">Provide training and workforce development. </w:t>
      </w:r>
    </w:p>
    <w:p>
      <w:pPr>
        <w:pStyle w:val="BodyText"/>
        <w:numPr>
          <w:ilvl w:val="0"/>
          <w:numId w:val="3"/>
        </w:numPr>
        <w:tabs>
          <w:tab w:val="clear" w:pos="709"/>
          <w:tab w:val="left" w:pos="709" w:leader="none"/>
        </w:tabs>
        <w:bidi w:val="0"/>
        <w:spacing w:before="0" w:after="0"/>
        <w:ind w:hanging="283" w:left="709"/>
        <w:jc w:val="left"/>
        <w:rPr/>
      </w:pPr>
      <w:r>
        <w:rPr/>
        <w:t xml:space="preserve">Recruit, employ and manage staff. </w:t>
      </w:r>
    </w:p>
    <w:p>
      <w:pPr>
        <w:pStyle w:val="BodyText"/>
        <w:numPr>
          <w:ilvl w:val="0"/>
          <w:numId w:val="3"/>
        </w:numPr>
        <w:tabs>
          <w:tab w:val="clear" w:pos="709"/>
          <w:tab w:val="left" w:pos="709" w:leader="none"/>
        </w:tabs>
        <w:bidi w:val="0"/>
        <w:spacing w:before="0" w:after="0"/>
        <w:ind w:hanging="283" w:left="709"/>
        <w:jc w:val="left"/>
        <w:rPr/>
      </w:pPr>
      <w:r>
        <w:rPr/>
        <w:t xml:space="preserve">Manage contractual and commercial relationships. </w:t>
      </w:r>
    </w:p>
    <w:p>
      <w:pPr>
        <w:pStyle w:val="BodyText"/>
        <w:numPr>
          <w:ilvl w:val="0"/>
          <w:numId w:val="3"/>
        </w:numPr>
        <w:tabs>
          <w:tab w:val="clear" w:pos="709"/>
          <w:tab w:val="left" w:pos="709" w:leader="none"/>
        </w:tabs>
        <w:bidi w:val="0"/>
        <w:spacing w:before="0" w:after="0"/>
        <w:ind w:hanging="283" w:left="709"/>
        <w:jc w:val="left"/>
        <w:rPr/>
      </w:pPr>
      <w:r>
        <w:rPr/>
        <w:t xml:space="preserve">Process invoices and payments. </w:t>
      </w:r>
    </w:p>
    <w:p>
      <w:pPr>
        <w:pStyle w:val="BodyText"/>
        <w:numPr>
          <w:ilvl w:val="0"/>
          <w:numId w:val="3"/>
        </w:numPr>
        <w:tabs>
          <w:tab w:val="clear" w:pos="709"/>
          <w:tab w:val="left" w:pos="709" w:leader="none"/>
        </w:tabs>
        <w:bidi w:val="0"/>
        <w:spacing w:before="0" w:after="0"/>
        <w:ind w:hanging="283" w:left="709"/>
        <w:jc w:val="left"/>
        <w:rPr/>
      </w:pPr>
      <w:r>
        <w:rPr/>
        <w:t xml:space="preserve">Maintain regulatory and operational records. </w:t>
      </w:r>
    </w:p>
    <w:p>
      <w:pPr>
        <w:pStyle w:val="BodyText"/>
        <w:numPr>
          <w:ilvl w:val="0"/>
          <w:numId w:val="3"/>
        </w:numPr>
        <w:tabs>
          <w:tab w:val="clear" w:pos="709"/>
          <w:tab w:val="left" w:pos="709" w:leader="none"/>
        </w:tabs>
        <w:bidi w:val="0"/>
        <w:spacing w:before="0" w:after="0"/>
        <w:ind w:hanging="283" w:left="709"/>
        <w:jc w:val="left"/>
        <w:rPr/>
      </w:pPr>
      <w:r>
        <w:rPr/>
        <w:t xml:space="preserve">Monitor and improve the quality of our services. </w:t>
      </w:r>
    </w:p>
    <w:p>
      <w:pPr>
        <w:pStyle w:val="BodyText"/>
        <w:numPr>
          <w:ilvl w:val="0"/>
          <w:numId w:val="3"/>
        </w:numPr>
        <w:tabs>
          <w:tab w:val="clear" w:pos="709"/>
          <w:tab w:val="left" w:pos="709" w:leader="none"/>
        </w:tabs>
        <w:bidi w:val="0"/>
        <w:spacing w:before="0" w:after="0"/>
        <w:ind w:hanging="283" w:left="709"/>
        <w:jc w:val="left"/>
        <w:rPr/>
      </w:pPr>
      <w:r>
        <w:rPr/>
        <w:t xml:space="preserve">Manage complaints, concerns and feedback. </w:t>
      </w:r>
    </w:p>
    <w:p>
      <w:pPr>
        <w:pStyle w:val="BodyText"/>
        <w:numPr>
          <w:ilvl w:val="0"/>
          <w:numId w:val="3"/>
        </w:numPr>
        <w:tabs>
          <w:tab w:val="clear" w:pos="709"/>
          <w:tab w:val="left" w:pos="709" w:leader="none"/>
        </w:tabs>
        <w:bidi w:val="0"/>
        <w:spacing w:before="0" w:after="0"/>
        <w:ind w:hanging="283" w:left="709"/>
        <w:jc w:val="left"/>
        <w:rPr/>
      </w:pPr>
      <w:r>
        <w:rPr/>
        <w:t xml:space="preserve">Meet safeguarding, regulatory and legal responsibilities. </w:t>
      </w:r>
    </w:p>
    <w:p>
      <w:pPr>
        <w:pStyle w:val="BodyText"/>
        <w:numPr>
          <w:ilvl w:val="0"/>
          <w:numId w:val="3"/>
        </w:numPr>
        <w:tabs>
          <w:tab w:val="clear" w:pos="709"/>
          <w:tab w:val="left" w:pos="709" w:leader="none"/>
        </w:tabs>
        <w:bidi w:val="0"/>
        <w:spacing w:before="0" w:after="0"/>
        <w:ind w:hanging="283" w:left="709"/>
        <w:jc w:val="left"/>
        <w:rPr/>
      </w:pPr>
      <w:r>
        <w:rPr/>
        <w:t xml:space="preserve">Prevent or investigate inappropriate or unlawful activity. </w:t>
      </w:r>
    </w:p>
    <w:p>
      <w:pPr>
        <w:pStyle w:val="BodyText"/>
        <w:numPr>
          <w:ilvl w:val="0"/>
          <w:numId w:val="3"/>
        </w:numPr>
        <w:tabs>
          <w:tab w:val="clear" w:pos="709"/>
          <w:tab w:val="left" w:pos="709" w:leader="none"/>
        </w:tabs>
        <w:bidi w:val="0"/>
        <w:spacing w:before="0" w:after="0"/>
        <w:ind w:hanging="283" w:left="709"/>
        <w:jc w:val="left"/>
        <w:rPr/>
      </w:pPr>
      <w:r>
        <w:rPr/>
        <w:t xml:space="preserve">Operate and improve our website. </w:t>
      </w:r>
    </w:p>
    <w:p>
      <w:pPr>
        <w:pStyle w:val="BodyText"/>
        <w:numPr>
          <w:ilvl w:val="0"/>
          <w:numId w:val="3"/>
        </w:numPr>
        <w:tabs>
          <w:tab w:val="clear" w:pos="709"/>
          <w:tab w:val="left" w:pos="709" w:leader="none"/>
        </w:tabs>
        <w:bidi w:val="0"/>
        <w:ind w:hanging="283" w:left="709"/>
        <w:jc w:val="left"/>
        <w:rPr/>
      </w:pPr>
      <w:r>
        <w:rPr/>
        <w:t xml:space="preserve">Communicate about NextGen services where lawful to do so. </w:t>
      </w:r>
    </w:p>
    <w:p>
      <w:pPr>
        <w:pStyle w:val="Heading3"/>
        <w:bidi w:val="0"/>
        <w:spacing w:lineRule="auto" w:line="276" w:before="0" w:after="140"/>
        <w:jc w:val="left"/>
        <w:rPr/>
      </w:pPr>
      <w:r>
        <w:rPr/>
        <w:t>8. Our Lawful Bases</w:t>
      </w:r>
    </w:p>
    <w:p>
      <w:pPr>
        <w:pStyle w:val="BodyText"/>
        <w:bidi w:val="0"/>
        <w:spacing w:lineRule="auto" w:line="276" w:before="0" w:after="140"/>
        <w:jc w:val="left"/>
        <w:rPr/>
      </w:pPr>
      <w:r>
        <w:rPr/>
        <w:t>NextGen will identify the appropriate lawful basis for each processing activity rather than applying one basis to everything.</w:t>
      </w:r>
    </w:p>
    <w:p>
      <w:pPr>
        <w:pStyle w:val="BodyText"/>
        <w:bidi w:val="0"/>
        <w:spacing w:lineRule="auto" w:line="276" w:before="0" w:after="140"/>
        <w:jc w:val="left"/>
        <w:rPr/>
      </w:pPr>
      <w:r>
        <w:rPr/>
        <w:t xml:space="preserve">Depending upon the circumstances, this may include </w:t>
      </w:r>
      <w:r>
        <w:rPr>
          <w:rStyle w:val="Strong"/>
        </w:rPr>
        <w:t>consent, contractual necessity, compliance with a legal obligation, vital interests, performance of a task in the public interest where applicable, or legitimate interests</w:t>
      </w:r>
      <w:r>
        <w:rPr/>
        <w:t>.</w:t>
      </w:r>
    </w:p>
    <w:p>
      <w:pPr>
        <w:pStyle w:val="BodyText"/>
        <w:bidi w:val="0"/>
        <w:spacing w:lineRule="auto" w:line="276" w:before="0" w:after="140"/>
        <w:jc w:val="left"/>
        <w:rPr/>
      </w:pPr>
      <w:r>
        <w:rPr/>
        <w:t>Where legitimate interests are relied upon, we will consider the purpose, necessity and impact upon the individual's rights and interests.</w:t>
      </w:r>
    </w:p>
    <w:p>
      <w:pPr>
        <w:pStyle w:val="BodyText"/>
        <w:bidi w:val="0"/>
        <w:spacing w:lineRule="auto" w:line="276" w:before="0" w:after="140"/>
        <w:jc w:val="left"/>
        <w:rPr/>
      </w:pPr>
      <w:r>
        <w:rPr/>
        <w:t>Consent will only be relied upon where it is an appropriate lawful basis. Where processing is based on consent, individuals may withdraw that consent, although withdrawal does not make previous lawful processing unlawful.</w:t>
      </w:r>
    </w:p>
    <w:p>
      <w:pPr>
        <w:pStyle w:val="BodyText"/>
        <w:bidi w:val="0"/>
        <w:spacing w:lineRule="auto" w:line="276" w:before="0" w:after="140"/>
        <w:jc w:val="left"/>
        <w:rPr/>
      </w:pPr>
      <w:r>
        <w:rPr/>
        <w:t xml:space="preserve">The lawful basis should be determined through NextGen's data-mapping exercise and Record of Processing Activities before this section is finalised. The ICO recommends mapping what information an organisation holds, what it does with it, why, where it came from, who receives it and how long it is retained before finalising privacy information. </w:t>
      </w:r>
    </w:p>
    <w:p>
      <w:pPr>
        <w:pStyle w:val="Heading3"/>
        <w:bidi w:val="0"/>
        <w:spacing w:lineRule="auto" w:line="276" w:before="0" w:after="140"/>
        <w:jc w:val="left"/>
        <w:rPr/>
      </w:pPr>
      <w:r>
        <w:rPr/>
        <w:t>9. Where We Obtain Information</w:t>
      </w:r>
    </w:p>
    <w:p>
      <w:pPr>
        <w:pStyle w:val="BodyText"/>
        <w:bidi w:val="0"/>
        <w:spacing w:lineRule="auto" w:line="276" w:before="0" w:after="140"/>
        <w:jc w:val="left"/>
        <w:rPr/>
      </w:pPr>
      <w:r>
        <w:rPr/>
        <w:t>Information may be obtained directly from you or, where appropriate and lawful, from organisations and professionals such as:</w:t>
      </w:r>
    </w:p>
    <w:p>
      <w:pPr>
        <w:pStyle w:val="BodyText"/>
        <w:bidi w:val="0"/>
        <w:spacing w:lineRule="auto" w:line="276" w:before="0" w:after="140"/>
        <w:jc w:val="left"/>
        <w:rPr/>
      </w:pPr>
      <w:r>
        <w:rPr/>
        <w:t>local authorities; social workers; commissioners; parents and carers; healthcare professionals; NHS services; schools and education providers; previous care providers; safeguarding agencies; police and emergency services; professional partners; employers or referees; recruitment sources; and other organisations involved in an individual's care or support.</w:t>
      </w:r>
    </w:p>
    <w:p>
      <w:pPr>
        <w:pStyle w:val="BodyText"/>
        <w:bidi w:val="0"/>
        <w:spacing w:lineRule="auto" w:line="276" w:before="0" w:after="140"/>
        <w:jc w:val="left"/>
        <w:rPr/>
      </w:pPr>
      <w:r>
        <w:rPr/>
        <w:t xml:space="preserve">Where information is obtained from another source, UK GDPR transparency requirements may require additional information about its categories and source to be provided. </w:t>
      </w:r>
    </w:p>
    <w:p>
      <w:pPr>
        <w:pStyle w:val="Heading3"/>
        <w:bidi w:val="0"/>
        <w:spacing w:lineRule="auto" w:line="276" w:before="0" w:after="140"/>
        <w:jc w:val="left"/>
        <w:rPr/>
      </w:pPr>
      <w:r>
        <w:rPr/>
        <w:t>10. Sharing Personal Information</w:t>
      </w:r>
    </w:p>
    <w:p>
      <w:pPr>
        <w:pStyle w:val="BodyText"/>
        <w:bidi w:val="0"/>
        <w:spacing w:lineRule="auto" w:line="276" w:before="0" w:after="140"/>
        <w:jc w:val="left"/>
        <w:rPr/>
      </w:pPr>
      <w:r>
        <w:rPr/>
        <w:t xml:space="preserve">NextGen does </w:t>
      </w:r>
      <w:r>
        <w:rPr>
          <w:rStyle w:val="Strong"/>
        </w:rPr>
        <w:t>not sell personal information</w:t>
      </w:r>
      <w:r>
        <w:rPr/>
        <w:t>.</w:t>
      </w:r>
    </w:p>
    <w:p>
      <w:pPr>
        <w:pStyle w:val="BodyText"/>
        <w:bidi w:val="0"/>
        <w:spacing w:lineRule="auto" w:line="276" w:before="0" w:after="140"/>
        <w:jc w:val="left"/>
        <w:rPr/>
      </w:pPr>
      <w:r>
        <w:rPr/>
        <w:t>Where necessary and lawful, information may be shared with relevant organisations or professionals, including local authorities, social services, commissioners, healthcare professionals, education providers, safeguarding partners, emergency services, regulators, professional advisers, contracted service providers and other organisations involved in delivering or overseeing services.</w:t>
      </w:r>
    </w:p>
    <w:p>
      <w:pPr>
        <w:pStyle w:val="BodyText"/>
        <w:bidi w:val="0"/>
        <w:spacing w:lineRule="auto" w:line="276" w:before="0" w:after="140"/>
        <w:jc w:val="left"/>
        <w:rPr/>
      </w:pPr>
      <w:r>
        <w:rPr/>
        <w:t>Information will only be shared where there is an appropriate reason and lawful basis for doing so.</w:t>
      </w:r>
    </w:p>
    <w:p>
      <w:pPr>
        <w:pStyle w:val="BodyText"/>
        <w:bidi w:val="0"/>
        <w:spacing w:lineRule="auto" w:line="276" w:before="0" w:after="140"/>
        <w:jc w:val="left"/>
        <w:rPr/>
      </w:pPr>
      <w:r>
        <w:rPr/>
        <w:t>Safeguarding information may need to be shared without consent where this is lawful and necessary to protect a child or another person from harm.</w:t>
      </w:r>
    </w:p>
    <w:p>
      <w:pPr>
        <w:pStyle w:val="Heading3"/>
        <w:bidi w:val="0"/>
        <w:spacing w:lineRule="auto" w:line="276" w:before="0" w:after="140"/>
        <w:jc w:val="left"/>
        <w:rPr/>
      </w:pPr>
      <w:r>
        <w:rPr/>
        <w:t>11. How We Protect Information</w:t>
      </w:r>
    </w:p>
    <w:p>
      <w:pPr>
        <w:pStyle w:val="BodyText"/>
        <w:bidi w:val="0"/>
        <w:spacing w:lineRule="auto" w:line="276" w:before="0" w:after="140"/>
        <w:jc w:val="left"/>
        <w:rPr/>
      </w:pPr>
      <w:r>
        <w:rPr/>
        <w:t>NextGen takes appropriate organisational and technical measures to protect personal information against unauthorised access, alteration, loss, disclosure or destruction.</w:t>
      </w:r>
    </w:p>
    <w:p>
      <w:pPr>
        <w:pStyle w:val="BodyText"/>
        <w:bidi w:val="0"/>
        <w:spacing w:lineRule="auto" w:line="276" w:before="0" w:after="140"/>
        <w:jc w:val="left"/>
        <w:rPr/>
      </w:pPr>
      <w:r>
        <w:rPr/>
        <w:t>Measures may include access controls, secure systems, password protection, staff confidentiality requirements, data protection training, secure record management, appropriate contracts with service providers, auditing and information-governance procedures.</w:t>
      </w:r>
    </w:p>
    <w:p>
      <w:pPr>
        <w:pStyle w:val="BodyText"/>
        <w:bidi w:val="0"/>
        <w:spacing w:lineRule="auto" w:line="276" w:before="0" w:after="140"/>
        <w:jc w:val="left"/>
        <w:rPr/>
      </w:pPr>
      <w:r>
        <w:rPr/>
        <w:t>Access to information should be restricted according to professional role and legitimate need.</w:t>
      </w:r>
    </w:p>
    <w:p>
      <w:pPr>
        <w:pStyle w:val="Heading3"/>
        <w:bidi w:val="0"/>
        <w:spacing w:lineRule="auto" w:line="276" w:before="0" w:after="140"/>
        <w:jc w:val="left"/>
        <w:rPr/>
      </w:pPr>
      <w:r>
        <w:rPr/>
        <w:t>12. How Long We Keep Information</w:t>
      </w:r>
    </w:p>
    <w:p>
      <w:pPr>
        <w:pStyle w:val="BodyText"/>
        <w:bidi w:val="0"/>
        <w:spacing w:lineRule="auto" w:line="276" w:before="0" w:after="140"/>
        <w:jc w:val="left"/>
        <w:rPr/>
      </w:pPr>
      <w:r>
        <w:rPr/>
        <w:t>We do not intend to keep personal information for longer than necessary.</w:t>
      </w:r>
    </w:p>
    <w:p>
      <w:pPr>
        <w:pStyle w:val="BodyText"/>
        <w:bidi w:val="0"/>
        <w:spacing w:lineRule="auto" w:line="276" w:before="0" w:after="140"/>
        <w:jc w:val="left"/>
        <w:rPr/>
      </w:pPr>
      <w:r>
        <w:rPr/>
        <w:t>Retention periods will vary according to the nature of the information, the service involved and applicable statutory, regulatory, safeguarding, contractual and insurance requirements.</w:t>
      </w:r>
    </w:p>
    <w:p>
      <w:pPr>
        <w:pStyle w:val="BodyText"/>
        <w:bidi w:val="0"/>
        <w:spacing w:lineRule="auto" w:line="276" w:before="0" w:after="140"/>
        <w:jc w:val="left"/>
        <w:rPr/>
      </w:pPr>
      <w:r>
        <w:rPr/>
        <w:t xml:space="preserve">NextGen will maintain a </w:t>
      </w:r>
      <w:r>
        <w:rPr>
          <w:rStyle w:val="Strong"/>
        </w:rPr>
        <w:t>Records Retention and Disposal Schedule</w:t>
      </w:r>
      <w:r>
        <w:rPr/>
        <w:t xml:space="preserve"> establishing the appropriate retention period for different categories of information.</w:t>
      </w:r>
    </w:p>
    <w:p>
      <w:pPr>
        <w:pStyle w:val="BodyText"/>
        <w:bidi w:val="0"/>
        <w:spacing w:lineRule="auto" w:line="276" w:before="0" w:after="140"/>
        <w:jc w:val="left"/>
        <w:rPr/>
      </w:pPr>
      <w:r>
        <w:rPr/>
        <w:t>Once information no longer needs to be retained, it will be securely deleted, destroyed or anonymised as appropriate.</w:t>
      </w:r>
    </w:p>
    <w:p>
      <w:pPr>
        <w:pStyle w:val="BodyText"/>
        <w:bidi w:val="0"/>
        <w:spacing w:lineRule="auto" w:line="276" w:before="0" w:after="140"/>
        <w:jc w:val="left"/>
        <w:rPr/>
      </w:pPr>
      <w:r>
        <w:rPr/>
        <w:t xml:space="preserve">The ICO requires privacy information to state retention periods or, where a specific period cannot be given, the criteria used to determine them. </w:t>
      </w:r>
    </w:p>
    <w:p>
      <w:pPr>
        <w:pStyle w:val="Heading3"/>
        <w:bidi w:val="0"/>
        <w:spacing w:lineRule="auto" w:line="276" w:before="0" w:after="140"/>
        <w:jc w:val="left"/>
        <w:rPr/>
      </w:pPr>
      <w:r>
        <w:rPr/>
        <w:t>13. Your Data Protection Rights</w:t>
      </w:r>
    </w:p>
    <w:p>
      <w:pPr>
        <w:pStyle w:val="BodyText"/>
        <w:bidi w:val="0"/>
        <w:spacing w:lineRule="auto" w:line="276" w:before="0" w:after="140"/>
        <w:jc w:val="left"/>
        <w:rPr/>
      </w:pPr>
      <w:r>
        <w:rPr/>
        <w:t xml:space="preserve">Depending upon the circumstances and lawful basis being relied upon, individuals may have rights relating to their personal information, including rights to </w:t>
      </w:r>
      <w:r>
        <w:rPr>
          <w:rStyle w:val="Strong"/>
        </w:rPr>
        <w:t>access, rectification, erasure, restriction, data portability and objection</w:t>
      </w:r>
      <w:r>
        <w:rPr/>
        <w:t>.</w:t>
      </w:r>
    </w:p>
    <w:p>
      <w:pPr>
        <w:pStyle w:val="BodyText"/>
        <w:bidi w:val="0"/>
        <w:spacing w:lineRule="auto" w:line="276" w:before="0" w:after="140"/>
        <w:jc w:val="left"/>
        <w:rPr/>
      </w:pPr>
      <w:r>
        <w:rPr/>
        <w:t>Where processing relies upon consent, there may also be a right to withdraw consent.</w:t>
      </w:r>
    </w:p>
    <w:p>
      <w:pPr>
        <w:pStyle w:val="BodyText"/>
        <w:bidi w:val="0"/>
        <w:spacing w:lineRule="auto" w:line="276" w:before="0" w:after="140"/>
        <w:jc w:val="left"/>
        <w:rPr/>
      </w:pPr>
      <w:r>
        <w:rPr/>
        <w:t>Not every right applies in every situation, and legal exemptions can apply.</w:t>
      </w:r>
    </w:p>
    <w:p>
      <w:pPr>
        <w:pStyle w:val="BodyText"/>
        <w:bidi w:val="0"/>
        <w:spacing w:lineRule="auto" w:line="276" w:before="0" w:after="140"/>
        <w:jc w:val="left"/>
        <w:rPr/>
      </w:pPr>
      <w:r>
        <w:rPr/>
        <w:t>Requests concerning personal information should be sent to:</w:t>
      </w:r>
    </w:p>
    <w:p>
      <w:pPr>
        <w:pStyle w:val="BodyText"/>
        <w:bidi w:val="0"/>
        <w:spacing w:lineRule="auto" w:line="276" w:before="0" w:after="140"/>
        <w:jc w:val="left"/>
        <w:rPr/>
      </w:pPr>
      <w:r>
        <w:rPr>
          <w:rStyle w:val="Strong"/>
        </w:rPr>
        <w:t>Data Protection / Privacy</w:t>
      </w:r>
      <w:r>
        <w:rPr/>
        <w:br/>
        <w:t>NextGen Inclusion</w:t>
        <w:br/>
      </w:r>
      <w:r>
        <w:rPr>
          <w:rStyle w:val="Strong"/>
        </w:rPr>
        <w:t>Email:</w:t>
      </w:r>
      <w:r>
        <w:rPr/>
        <w:t xml:space="preserve"> </w:t>
      </w:r>
      <w:r>
        <w:rPr/>
        <w:t>Heatherbutler@nextgeninclusionltd.uk</w:t>
      </w:r>
      <w:r>
        <w:rPr/>
        <w:br/>
      </w:r>
      <w:r>
        <w:rPr>
          <w:rStyle w:val="Strong"/>
        </w:rPr>
        <w:t>Address:</w:t>
      </w:r>
      <w:r>
        <w:rPr/>
        <w:t xml:space="preserve"> </w:t>
      </w:r>
      <w:r>
        <w:rPr/>
        <w:t>The Loft, Presse Hall Farm, Weeton. PR4 3HT</w:t>
      </w:r>
    </w:p>
    <w:p>
      <w:pPr>
        <w:pStyle w:val="BodyText"/>
        <w:bidi w:val="0"/>
        <w:spacing w:lineRule="auto" w:line="276" w:before="0" w:after="140"/>
        <w:jc w:val="left"/>
        <w:rPr/>
      </w:pPr>
      <w:r>
        <w:rPr/>
        <w:t xml:space="preserve">The ICO requires organisations to tell individuals which rights apply to the relevant processing and specifically requires the right to object to be brought clearly to people's attention where applicable. </w:t>
      </w:r>
    </w:p>
    <w:p>
      <w:pPr>
        <w:pStyle w:val="Heading3"/>
        <w:bidi w:val="0"/>
        <w:spacing w:lineRule="auto" w:line="276" w:before="0" w:after="140"/>
        <w:jc w:val="left"/>
        <w:rPr/>
      </w:pPr>
      <w:r>
        <w:rPr/>
        <w:t>14. Automated Decision-Making</w:t>
      </w:r>
    </w:p>
    <w:p>
      <w:pPr>
        <w:pStyle w:val="BodyText"/>
        <w:bidi w:val="0"/>
        <w:spacing w:lineRule="auto" w:line="276" w:before="0" w:after="140"/>
        <w:jc w:val="left"/>
        <w:rPr/>
      </w:pPr>
      <w:r>
        <w:rPr/>
        <w:t>NextGen will tell individuals if it uses solely automated decision-making or profiling that produces legal or similarly significant effects where the law requires this.</w:t>
      </w:r>
    </w:p>
    <w:p>
      <w:pPr>
        <w:pStyle w:val="BodyText"/>
        <w:bidi w:val="0"/>
        <w:spacing w:lineRule="auto" w:line="276" w:before="0" w:after="140"/>
        <w:jc w:val="left"/>
        <w:rPr/>
      </w:pPr>
      <w:r>
        <w:rPr>
          <w:rStyle w:val="Strong"/>
        </w:rPr>
        <w:t>We will not state that NextGen does or does not currently undertake such processing until your actual website, referral, recruitment and operational systems have been confirmed.</w:t>
      </w:r>
    </w:p>
    <w:p>
      <w:pPr>
        <w:pStyle w:val="BodyText"/>
        <w:bidi w:val="0"/>
        <w:spacing w:lineRule="auto" w:line="276" w:before="0" w:after="140"/>
        <w:jc w:val="left"/>
        <w:rPr/>
      </w:pPr>
      <w:r>
        <w:rPr/>
        <w:t>This is important because privacy notices must describe what the organisation actually does rather than make assumptions about its systems.</w:t>
      </w:r>
    </w:p>
    <w:p>
      <w:pPr>
        <w:pStyle w:val="Heading3"/>
        <w:bidi w:val="0"/>
        <w:spacing w:lineRule="auto" w:line="276" w:before="0" w:after="140"/>
        <w:jc w:val="left"/>
        <w:rPr/>
      </w:pPr>
      <w:r>
        <w:rPr/>
        <w:t>15. Marketing Communications</w:t>
      </w:r>
    </w:p>
    <w:p>
      <w:pPr>
        <w:pStyle w:val="BodyText"/>
        <w:bidi w:val="0"/>
        <w:spacing w:lineRule="auto" w:line="276" w:before="0" w:after="140"/>
        <w:jc w:val="left"/>
        <w:rPr/>
      </w:pPr>
      <w:r>
        <w:rPr/>
        <w:t>Where NextGen sends marketing or promotional communications, we will do so in accordance with applicable data protection and electronic communications requirements.</w:t>
      </w:r>
    </w:p>
    <w:p>
      <w:pPr>
        <w:pStyle w:val="BodyText"/>
        <w:bidi w:val="0"/>
        <w:spacing w:lineRule="auto" w:line="276" w:before="0" w:after="140"/>
        <w:jc w:val="left"/>
        <w:rPr/>
      </w:pPr>
      <w:r>
        <w:rPr/>
        <w:t>Recipients will be provided with an appropriate method of changing their preferences or opting out of marketing communications.</w:t>
      </w:r>
    </w:p>
    <w:p>
      <w:pPr>
        <w:pStyle w:val="BodyText"/>
        <w:bidi w:val="0"/>
        <w:spacing w:lineRule="auto" w:line="276" w:before="0" w:after="140"/>
        <w:jc w:val="left"/>
        <w:rPr/>
      </w:pPr>
      <w:r>
        <w:rPr/>
        <w:t>Opting out of marketing will not prevent NextGen from sending necessary service, contractual, safeguarding or administrative communications where these are otherwise lawful.</w:t>
      </w:r>
    </w:p>
    <w:p>
      <w:pPr>
        <w:pStyle w:val="Heading3"/>
        <w:bidi w:val="0"/>
        <w:spacing w:lineRule="auto" w:line="276" w:before="0" w:after="140"/>
        <w:jc w:val="left"/>
        <w:rPr/>
      </w:pPr>
      <w:r>
        <w:rPr/>
        <w:t>16. Website, Cookies &amp; Analytics</w:t>
      </w:r>
    </w:p>
    <w:p>
      <w:pPr>
        <w:pStyle w:val="BodyText"/>
        <w:bidi w:val="0"/>
        <w:spacing w:lineRule="auto" w:line="276" w:before="0" w:after="140"/>
        <w:jc w:val="left"/>
        <w:rPr/>
      </w:pPr>
      <w:r>
        <w:rPr/>
        <w:t>Our website may use cookies and similar technologies to operate correctly, remember preferences, understand website usage and improve the visitor experience.</w:t>
      </w:r>
    </w:p>
    <w:p>
      <w:pPr>
        <w:pStyle w:val="BodyText"/>
        <w:bidi w:val="0"/>
        <w:spacing w:lineRule="auto" w:line="276" w:before="0" w:after="140"/>
        <w:jc w:val="left"/>
        <w:rPr/>
      </w:pPr>
      <w:r>
        <w:rPr/>
        <w:t>Where legally required, non-essential cookies will not be placed without the appropriate consent.</w:t>
      </w:r>
    </w:p>
    <w:p>
      <w:pPr>
        <w:pStyle w:val="BodyText"/>
        <w:bidi w:val="0"/>
        <w:spacing w:lineRule="auto" w:line="276" w:before="0" w:after="140"/>
        <w:jc w:val="left"/>
        <w:rPr/>
      </w:pPr>
      <w:r>
        <w:rPr/>
        <w:t xml:space="preserve">A separate </w:t>
      </w:r>
      <w:r>
        <w:rPr>
          <w:rStyle w:val="Strong"/>
        </w:rPr>
        <w:t>Cookie Policy</w:t>
      </w:r>
      <w:r>
        <w:rPr/>
        <w:t xml:space="preserve"> should explain the cookies and technologies actually used by the finished NextGen website.</w:t>
      </w:r>
    </w:p>
    <w:p>
      <w:pPr>
        <w:pStyle w:val="Heading3"/>
        <w:bidi w:val="0"/>
        <w:spacing w:lineRule="auto" w:line="276" w:before="0" w:after="140"/>
        <w:jc w:val="left"/>
        <w:rPr/>
      </w:pPr>
      <w:r>
        <w:rPr/>
        <w:t>17. International Data Transfers</w:t>
      </w:r>
    </w:p>
    <w:p>
      <w:pPr>
        <w:pStyle w:val="BodyText"/>
        <w:bidi w:val="0"/>
        <w:spacing w:lineRule="auto" w:line="276" w:before="0" w:after="140"/>
        <w:jc w:val="left"/>
        <w:rPr/>
      </w:pPr>
      <w:r>
        <w:rPr/>
        <w:t>Some technology or service providers may process information outside the UK.</w:t>
      </w:r>
    </w:p>
    <w:p>
      <w:pPr>
        <w:pStyle w:val="BodyText"/>
        <w:bidi w:val="0"/>
        <w:spacing w:lineRule="auto" w:line="276" w:before="0" w:after="140"/>
        <w:jc w:val="left"/>
        <w:rPr/>
      </w:pPr>
      <w:r>
        <w:rPr/>
        <w:t>Where personal information is transferred internationally, NextGen will ensure that an appropriate legal transfer mechanism and safeguards are used where required.</w:t>
      </w:r>
    </w:p>
    <w:p>
      <w:pPr>
        <w:pStyle w:val="BodyText"/>
        <w:bidi w:val="0"/>
        <w:spacing w:lineRule="auto" w:line="276" w:before="0" w:after="140"/>
        <w:jc w:val="left"/>
        <w:rPr/>
      </w:pPr>
      <w:r>
        <w:rPr/>
        <w:t xml:space="preserve">This section should be updated once your website hosting, email, cloud storage, CRM, HR, care-management and other technology providers are confirmed. International transfers are one of the areas the ICO expects organisations to address where applicable. </w:t>
      </w:r>
    </w:p>
    <w:p>
      <w:pPr>
        <w:pStyle w:val="Heading3"/>
        <w:bidi w:val="0"/>
        <w:spacing w:lineRule="auto" w:line="276" w:before="0" w:after="140"/>
        <w:jc w:val="left"/>
        <w:rPr/>
      </w:pPr>
      <w:r>
        <w:rPr/>
        <w:t>18. Data Breaches</w:t>
      </w:r>
    </w:p>
    <w:p>
      <w:pPr>
        <w:pStyle w:val="BodyText"/>
        <w:bidi w:val="0"/>
        <w:spacing w:lineRule="auto" w:line="276" w:before="0" w:after="140"/>
        <w:jc w:val="left"/>
        <w:rPr/>
      </w:pPr>
      <w:r>
        <w:rPr/>
        <w:t>NextGen will maintain procedures for identifying, reporting, investigating and managing personal data breaches.</w:t>
      </w:r>
    </w:p>
    <w:p>
      <w:pPr>
        <w:pStyle w:val="BodyText"/>
        <w:bidi w:val="0"/>
        <w:spacing w:lineRule="auto" w:line="276" w:before="0" w:after="140"/>
        <w:jc w:val="left"/>
        <w:rPr/>
      </w:pPr>
      <w:r>
        <w:rPr/>
        <w:t>Where a breach creates the relevant level of risk, notifications will be made to the appropriate regulator and affected individuals in accordance with applicable data protection requirements.</w:t>
      </w:r>
    </w:p>
    <w:p>
      <w:pPr>
        <w:pStyle w:val="Heading3"/>
        <w:bidi w:val="0"/>
        <w:spacing w:lineRule="auto" w:line="276" w:before="0" w:after="140"/>
        <w:jc w:val="left"/>
        <w:rPr/>
      </w:pPr>
      <w:r>
        <w:rPr/>
        <w:t>19. Complaints</w:t>
      </w:r>
    </w:p>
    <w:p>
      <w:pPr>
        <w:pStyle w:val="BodyText"/>
        <w:bidi w:val="0"/>
        <w:spacing w:lineRule="auto" w:line="276" w:before="0" w:after="140"/>
        <w:jc w:val="left"/>
        <w:rPr/>
      </w:pPr>
      <w:r>
        <w:rPr/>
        <w:t>If you have concerns about how NextGen has handled your personal information, we encourage you to contact us first so that we can investigate your concerns.</w:t>
      </w:r>
    </w:p>
    <w:p>
      <w:pPr>
        <w:pStyle w:val="BodyText"/>
        <w:bidi w:val="0"/>
        <w:spacing w:lineRule="auto" w:line="276" w:before="0" w:after="140"/>
        <w:jc w:val="left"/>
        <w:rPr/>
      </w:pPr>
      <w:r>
        <w:rPr>
          <w:rStyle w:val="Strong"/>
        </w:rPr>
        <w:t>NextGen Inclusion – Data Protection</w:t>
      </w:r>
      <w:r>
        <w:rPr/>
        <w:br/>
        <w:t xml:space="preserve">Email: </w:t>
      </w:r>
      <w:r>
        <w:rPr/>
        <w:t>heatherbutler@nextgeninclusionltd.uk</w:t>
      </w:r>
      <w:r>
        <w:rPr/>
        <w:br/>
        <w:t xml:space="preserve">Telephone: </w:t>
      </w:r>
      <w:r>
        <w:rPr>
          <w:rStyle w:val="Strong"/>
        </w:rPr>
        <w:t>0800 274 0101</w:t>
      </w:r>
      <w:r>
        <w:rPr/>
        <w:br/>
        <w:t xml:space="preserve">Address: </w:t>
      </w:r>
      <w:r>
        <w:rPr>
          <w:rStyle w:val="Strong"/>
        </w:rPr>
        <w:t>The Loft, Preese Hall Farm, Weeton, pr4 3HT</w:t>
      </w:r>
    </w:p>
    <w:p>
      <w:pPr>
        <w:pStyle w:val="BodyText"/>
        <w:bidi w:val="0"/>
        <w:spacing w:lineRule="auto" w:line="276" w:before="0" w:after="140"/>
        <w:jc w:val="left"/>
        <w:rPr/>
      </w:pPr>
      <w:r>
        <w:rPr/>
        <w:t xml:space="preserve">You also have the right to raise a complaint with the </w:t>
      </w:r>
      <w:r>
        <w:rPr>
          <w:rStyle w:val="Strong"/>
        </w:rPr>
        <w:t>Information Commissioner's Office (ICO)</w:t>
      </w:r>
      <w:r>
        <w:rPr/>
        <w:t>, the UK's data protection regulator.</w:t>
      </w:r>
    </w:p>
    <w:p>
      <w:pPr>
        <w:pStyle w:val="BodyText"/>
        <w:bidi w:val="0"/>
        <w:spacing w:lineRule="auto" w:line="276" w:before="0" w:after="140"/>
        <w:jc w:val="left"/>
        <w:rPr/>
      </w:pPr>
      <w:hyperlink r:id="rId2" w:tgtFrame="_blank">
        <w:r>
          <w:rPr>
            <w:rStyle w:val="Hyperlink"/>
          </w:rPr>
          <w:t>Information Commissioner's Office</w:t>
        </w:r>
      </w:hyperlink>
    </w:p>
    <w:p>
      <w:pPr>
        <w:pStyle w:val="BodyText"/>
        <w:bidi w:val="0"/>
        <w:spacing w:lineRule="auto" w:line="276" w:before="0" w:after="140"/>
        <w:jc w:val="left"/>
        <w:rPr/>
      </w:pPr>
      <w:r>
        <w:rPr/>
        <w:t xml:space="preserve">The right to complain to the supervisory authority forms part of the privacy information organisations are expected to provide. </w:t>
      </w:r>
    </w:p>
    <w:p>
      <w:pPr>
        <w:pStyle w:val="Heading3"/>
        <w:bidi w:val="0"/>
        <w:spacing w:lineRule="auto" w:line="276" w:before="0" w:after="140"/>
        <w:jc w:val="left"/>
        <w:rPr/>
      </w:pPr>
      <w:r>
        <w:rPr/>
        <w:t>20. Changes to This Privacy Notice</w:t>
      </w:r>
    </w:p>
    <w:p>
      <w:pPr>
        <w:pStyle w:val="BodyText"/>
        <w:bidi w:val="0"/>
        <w:spacing w:lineRule="auto" w:line="276" w:before="0" w:after="140"/>
        <w:jc w:val="left"/>
        <w:rPr/>
      </w:pPr>
      <w:r>
        <w:rPr/>
        <w:t>We will review this Privacy Notice regularly and update it when our services, systems, legal responsibilities or processing activities change.</w:t>
      </w:r>
    </w:p>
    <w:p>
      <w:pPr>
        <w:pStyle w:val="BodyText"/>
        <w:bidi w:val="0"/>
        <w:spacing w:lineRule="auto" w:line="276" w:before="0" w:after="140"/>
        <w:jc w:val="left"/>
        <w:rPr/>
      </w:pPr>
      <w:r>
        <w:rPr/>
        <w:t xml:space="preserve">Where we intend to use personal information for a materially new purpose, we will provide appropriate information before beginning that processing where required. The ICO recommends that organisations regularly review privacy information and bring new uses of personal data to people's attention. </w:t>
      </w:r>
    </w:p>
    <w:p>
      <w:pPr>
        <w:pStyle w:val="Heading3"/>
        <w:bidi w:val="0"/>
        <w:spacing w:lineRule="auto" w:line="276" w:before="0" w:after="140"/>
        <w:jc w:val="left"/>
        <w:rPr/>
      </w:pPr>
      <w:r>
        <w:rPr/>
        <w:t>21. Contact NextGen Inclusion</w:t>
      </w:r>
    </w:p>
    <w:p>
      <w:pPr>
        <w:pStyle w:val="BodyText"/>
        <w:bidi w:val="0"/>
        <w:spacing w:lineRule="auto" w:line="276" w:before="0" w:after="140"/>
        <w:jc w:val="left"/>
        <w:rPr/>
      </w:pPr>
      <w:r>
        <w:rPr/>
        <w:t>For questions about this Privacy Notice, requests concerning personal information or other data-protection enquiries, please contact:</w:t>
      </w:r>
    </w:p>
    <w:p>
      <w:pPr>
        <w:pStyle w:val="BodyText"/>
        <w:bidi w:val="0"/>
        <w:spacing w:lineRule="auto" w:line="276" w:before="0" w:after="140"/>
        <w:jc w:val="left"/>
        <w:rPr/>
      </w:pPr>
      <w:r>
        <w:rPr>
          <w:rStyle w:val="Strong"/>
        </w:rPr>
        <w:t>NextGen Inclusion</w:t>
      </w:r>
      <w:r>
        <w:rPr/>
        <w:br/>
      </w:r>
      <w:r>
        <w:rPr>
          <w:rStyle w:val="Strong"/>
        </w:rPr>
        <w:t>Legal entity:</w:t>
      </w:r>
      <w:r>
        <w:rPr/>
        <w:t xml:space="preserve"> </w:t>
      </w:r>
      <w:r>
        <w:rPr/>
        <w:t>Nextgen Inclusion Ltd</w:t>
      </w:r>
      <w:r>
        <w:rPr/>
        <w:br/>
      </w:r>
      <w:r>
        <w:rPr>
          <w:rStyle w:val="Strong"/>
        </w:rPr>
        <w:t>Registered address:</w:t>
      </w:r>
      <w:r>
        <w:rPr/>
        <w:t xml:space="preserve"> </w:t>
      </w:r>
      <w:r>
        <w:rPr/>
        <w:t>The Loft, Preese Hall Farm, Weeton. PR4 3HT</w:t>
      </w:r>
      <w:r>
        <w:rPr/>
        <w:br/>
      </w:r>
      <w:r>
        <w:rPr>
          <w:rStyle w:val="Strong"/>
        </w:rPr>
        <w:t>Email:</w:t>
      </w:r>
      <w:r>
        <w:rPr/>
        <w:t xml:space="preserve"> </w:t>
      </w:r>
      <w:r>
        <w:rPr/>
        <w:t>heatherbutler@nextgeninclusionltd.uk</w:t>
      </w:r>
      <w:r>
        <w:rPr/>
        <w:br/>
      </w:r>
      <w:r>
        <w:rPr>
          <w:rStyle w:val="Strong"/>
        </w:rPr>
        <w:t>Telephone:</w:t>
      </w:r>
      <w:r>
        <w:rPr/>
        <w:t xml:space="preserve"> </w:t>
      </w:r>
      <w:r>
        <w:rPr/>
        <w:t>0800 274 0101</w:t>
      </w:r>
      <w:r>
        <w:rPr/>
        <w:br/>
      </w:r>
      <w:r>
        <w:rPr>
          <w:rStyle w:val="Strong"/>
        </w:rPr>
        <w:t>Company number:</w:t>
      </w:r>
      <w:r>
        <w:rPr/>
        <w:t xml:space="preserve"> </w:t>
      </w:r>
      <w:r>
        <w:rPr/>
        <w:t>17391310</w:t>
      </w:r>
      <w:r>
        <w:rPr/>
        <w:br/>
      </w:r>
      <w:r>
        <w:rPr>
          <w:rStyle w:val="Strong"/>
        </w:rPr>
        <w:t>ICO registration number:</w:t>
      </w:r>
      <w:r>
        <w:rPr/>
        <w:t xml:space="preserve"> </w:t>
      </w:r>
    </w:p>
    <w:p>
      <w:pPr>
        <w:pStyle w:val="BodyText"/>
        <w:bidi w:val="0"/>
        <w:spacing w:lineRule="auto" w:line="276" w:before="0" w:after="140"/>
        <w:jc w:val="left"/>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en-GB" w:eastAsia="zh-CN" w:bidi="hi-IN"/>
    </w:rPr>
  </w:style>
  <w:style w:type="paragraph" w:styleId="Heading1">
    <w:name w:val="heading 1"/>
    <w:basedOn w:val="Heading"/>
    <w:next w:val="BodyText"/>
    <w:qFormat/>
    <w:pPr>
      <w:numPr>
        <w:ilvl w:val="0"/>
        <w:numId w:val="0"/>
      </w:numPr>
      <w:spacing w:before="240" w:after="120"/>
      <w:outlineLvl w:val="0"/>
    </w:pPr>
    <w:rPr>
      <w:rFonts w:ascii="Liberation Serif" w:hAnsi="Liberation Serif" w:eastAsia="NSimSun" w:cs="Arial"/>
      <w:b/>
      <w:bCs/>
      <w:sz w:val="48"/>
      <w:szCs w:val="48"/>
    </w:rPr>
  </w:style>
  <w:style w:type="paragraph" w:styleId="Heading2">
    <w:name w:val="heading 2"/>
    <w:basedOn w:val="Heading"/>
    <w:next w:val="BodyText"/>
    <w:qFormat/>
    <w:pPr>
      <w:numPr>
        <w:ilvl w:val="0"/>
        <w:numId w:val="0"/>
      </w:numPr>
      <w:spacing w:before="200" w:after="120"/>
      <w:outlineLvl w:val="1"/>
    </w:pPr>
    <w:rPr>
      <w:rFonts w:ascii="Liberation Serif" w:hAnsi="Liberation Serif" w:eastAsia="NSimSun" w:cs="Arial"/>
      <w:b/>
      <w:bCs/>
      <w:sz w:val="36"/>
      <w:szCs w:val="36"/>
    </w:rPr>
  </w:style>
  <w:style w:type="paragraph" w:styleId="Heading3">
    <w:name w:val="heading 3"/>
    <w:basedOn w:val="Heading"/>
    <w:next w:val="BodyText"/>
    <w:qFormat/>
    <w:pPr>
      <w:numPr>
        <w:ilvl w:val="0"/>
        <w:numId w:val="0"/>
      </w:numPr>
      <w:spacing w:before="140" w:after="120"/>
      <w:outlineLvl w:val="2"/>
    </w:pPr>
    <w:rPr>
      <w:rFonts w:ascii="Liberation Serif" w:hAnsi="Liberation Serif" w:eastAsia="NSimSun" w:cs="Arial"/>
      <w:b/>
      <w:bCs/>
      <w:sz w:val="28"/>
      <w:szCs w:val="28"/>
    </w:rPr>
  </w:style>
  <w:style w:type="character" w:styleId="Strong">
    <w:name w:val="Strong"/>
    <w:qFormat/>
    <w:rPr>
      <w:b/>
      <w:bCs/>
    </w:rPr>
  </w:style>
  <w:style w:type="character" w:styleId="Bullets">
    <w:name w:val="Bullets"/>
    <w:qFormat/>
    <w:rPr>
      <w:rFonts w:ascii="OpenSymbol" w:hAnsi="OpenSymbol" w:eastAsia="OpenSymbol" w:cs="OpenSymbol"/>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co.org.uk/?utm_source=chatgpt.com"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79</TotalTime>
  <Application>LibreOffice/26.2.5.2$Windows_X86_64 LibreOffice_project/cd7284b4cbbfeb507e630c1aac019f4157393acb</Application>
  <AppVersion>15.0000</AppVersion>
  <Pages>6</Pages>
  <Words>1918</Words>
  <Characters>12090</Characters>
  <CharactersWithSpaces>13894</CharactersWithSpaces>
  <Paragraphs>128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2026-08-28T21:54:04Z</dcterms:created>
  <dc:creator/>
  <dc:description/>
  <dc:language>en-GB</dc:language>
  <cp:lastModifiedBy/>
  <dcterms:modified xsi:type="dcterms:W3CDTF">2026-09-03T10:24:14Z</dcterms:modified>
  <cp:revision>2</cp:revision>
  <dc:subject/>
  <dc:title/>
</cp:coreProperties>
</file>